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4" w:rsidRPr="00860679" w:rsidRDefault="00436927" w:rsidP="00A027C4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860679">
        <w:rPr>
          <w:rFonts w:ascii="Arial" w:eastAsia="Arial" w:hAnsi="Arial" w:cs="Arial"/>
          <w:sz w:val="24"/>
          <w:szCs w:val="24"/>
        </w:rPr>
        <w:t xml:space="preserve">Saltillo, Coahuila, a </w:t>
      </w:r>
      <w:r w:rsidR="00144113">
        <w:rPr>
          <w:rFonts w:ascii="Arial" w:eastAsia="Arial" w:hAnsi="Arial" w:cs="Arial"/>
          <w:sz w:val="24"/>
          <w:szCs w:val="24"/>
        </w:rPr>
        <w:t>quince</w:t>
      </w:r>
      <w:r w:rsidR="00A027C4" w:rsidRPr="00860679">
        <w:rPr>
          <w:rFonts w:ascii="Arial" w:eastAsia="Arial" w:hAnsi="Arial" w:cs="Arial"/>
          <w:sz w:val="24"/>
          <w:szCs w:val="24"/>
        </w:rPr>
        <w:t xml:space="preserve"> de </w:t>
      </w:r>
      <w:r w:rsidR="00AA2AEA" w:rsidRPr="00860679">
        <w:rPr>
          <w:rFonts w:ascii="Arial" w:eastAsia="Arial" w:hAnsi="Arial" w:cs="Arial"/>
          <w:sz w:val="24"/>
          <w:szCs w:val="24"/>
        </w:rPr>
        <w:t>febrero</w:t>
      </w:r>
      <w:r w:rsidR="003D7C68" w:rsidRPr="00860679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860679">
        <w:rPr>
          <w:rFonts w:ascii="Arial" w:eastAsia="Arial" w:hAnsi="Arial" w:cs="Arial"/>
          <w:sz w:val="24"/>
          <w:szCs w:val="24"/>
        </w:rPr>
        <w:t>veintitrés</w:t>
      </w:r>
      <w:r w:rsidR="00A027C4" w:rsidRPr="00860679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86067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86067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86067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60679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860679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860679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60679">
        <w:rPr>
          <w:rFonts w:ascii="Arial" w:eastAsia="Arial" w:hAnsi="Arial" w:cs="Arial"/>
          <w:b/>
          <w:sz w:val="24"/>
          <w:szCs w:val="24"/>
        </w:rPr>
        <w:t>Magistrados de la Sala Colegiada Penal:</w:t>
      </w:r>
    </w:p>
    <w:p w:rsidR="00A027C4" w:rsidRPr="00860679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860679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60679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1012C9">
        <w:rPr>
          <w:rFonts w:ascii="Arial" w:eastAsia="Arial" w:hAnsi="Arial" w:cs="Arial"/>
          <w:sz w:val="24"/>
          <w:szCs w:val="24"/>
        </w:rPr>
        <w:t>r la sesión ordinaria de</w:t>
      </w:r>
      <w:r w:rsidRPr="00860679">
        <w:rPr>
          <w:rFonts w:ascii="Arial" w:eastAsia="Arial" w:hAnsi="Arial" w:cs="Arial"/>
          <w:sz w:val="24"/>
          <w:szCs w:val="24"/>
        </w:rPr>
        <w:t xml:space="preserve"> la sala del Pleno Penal, misma que tendrá verificativo a las </w:t>
      </w:r>
      <w:r w:rsidR="00144113">
        <w:rPr>
          <w:rFonts w:ascii="Arial" w:eastAsia="Arial" w:hAnsi="Arial" w:cs="Arial"/>
          <w:b/>
          <w:sz w:val="24"/>
          <w:szCs w:val="24"/>
        </w:rPr>
        <w:t>catorce horas (14</w:t>
      </w:r>
      <w:r w:rsidR="009835F6" w:rsidRPr="00860679">
        <w:rPr>
          <w:rFonts w:ascii="Arial" w:eastAsia="Arial" w:hAnsi="Arial" w:cs="Arial"/>
          <w:b/>
          <w:sz w:val="24"/>
          <w:szCs w:val="24"/>
        </w:rPr>
        <w:t>:0</w:t>
      </w:r>
      <w:r w:rsidRPr="00860679">
        <w:rPr>
          <w:rFonts w:ascii="Arial" w:eastAsia="Arial" w:hAnsi="Arial" w:cs="Arial"/>
          <w:b/>
          <w:sz w:val="24"/>
          <w:szCs w:val="24"/>
        </w:rPr>
        <w:t>0)</w:t>
      </w:r>
      <w:r w:rsidRPr="00860679">
        <w:rPr>
          <w:rFonts w:ascii="Arial" w:eastAsia="Arial" w:hAnsi="Arial" w:cs="Arial"/>
          <w:sz w:val="24"/>
          <w:szCs w:val="24"/>
        </w:rPr>
        <w:t xml:space="preserve">, del día </w:t>
      </w:r>
      <w:r w:rsidR="00144113">
        <w:rPr>
          <w:rFonts w:ascii="Arial" w:eastAsia="Arial" w:hAnsi="Arial" w:cs="Arial"/>
          <w:b/>
          <w:sz w:val="24"/>
          <w:szCs w:val="24"/>
        </w:rPr>
        <w:t>jueves</w:t>
      </w:r>
      <w:r w:rsidR="00436927" w:rsidRPr="00860679">
        <w:rPr>
          <w:rFonts w:ascii="Arial" w:eastAsia="Arial" w:hAnsi="Arial" w:cs="Arial"/>
          <w:b/>
          <w:sz w:val="24"/>
          <w:szCs w:val="24"/>
        </w:rPr>
        <w:t xml:space="preserve"> </w:t>
      </w:r>
      <w:r w:rsidR="00144113">
        <w:rPr>
          <w:rFonts w:ascii="Arial" w:eastAsia="Arial" w:hAnsi="Arial" w:cs="Arial"/>
          <w:b/>
          <w:sz w:val="24"/>
          <w:szCs w:val="24"/>
        </w:rPr>
        <w:t>dieciséis (16</w:t>
      </w:r>
      <w:r w:rsidRPr="00860679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AA2AEA" w:rsidRPr="00860679">
        <w:rPr>
          <w:rFonts w:ascii="Arial" w:eastAsia="Arial" w:hAnsi="Arial" w:cs="Arial"/>
          <w:b/>
          <w:sz w:val="24"/>
          <w:szCs w:val="24"/>
        </w:rPr>
        <w:t>febrero</w:t>
      </w:r>
      <w:r w:rsidR="003D7C68" w:rsidRPr="00860679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860679">
        <w:rPr>
          <w:rFonts w:ascii="Arial" w:eastAsia="Arial" w:hAnsi="Arial" w:cs="Arial"/>
          <w:b/>
          <w:sz w:val="24"/>
          <w:szCs w:val="24"/>
        </w:rPr>
        <w:t>)</w:t>
      </w:r>
      <w:r w:rsidRPr="00860679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860679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860679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60679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860679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860679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 xml:space="preserve">3) 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>Enseguida, la y los Magistrados numerarios</w:t>
      </w:r>
      <w:r w:rsidR="003B2E12" w:rsidRPr="00860679"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 w:rsidR="003B2E12" w:rsidRPr="00860679">
        <w:rPr>
          <w:rFonts w:ascii="Arial" w:eastAsia="Arial" w:hAnsi="Arial" w:cs="Arial"/>
          <w:color w:val="000000"/>
          <w:sz w:val="24"/>
          <w:szCs w:val="24"/>
        </w:rPr>
        <w:t>supernumer</w:t>
      </w:r>
      <w:r w:rsidR="003D7C68" w:rsidRPr="00860679">
        <w:rPr>
          <w:rFonts w:ascii="Arial" w:eastAsia="Arial" w:hAnsi="Arial" w:cs="Arial"/>
          <w:color w:val="000000"/>
          <w:sz w:val="24"/>
          <w:szCs w:val="24"/>
        </w:rPr>
        <w:t>ios</w:t>
      </w:r>
      <w:proofErr w:type="spellEnd"/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9243B4" w:rsidRPr="00860679" w:rsidRDefault="009243B4" w:rsidP="00A027C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E7AA4" w:rsidRPr="00860679" w:rsidRDefault="00382AC9" w:rsidP="00DE7AA4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860679">
        <w:rPr>
          <w:rFonts w:ascii="Arial" w:hAnsi="Arial" w:cs="Arial"/>
          <w:b/>
          <w:sz w:val="24"/>
          <w:szCs w:val="24"/>
          <w:u w:val="single"/>
          <w:lang w:eastAsia="es-ES"/>
        </w:rPr>
        <w:t>Magist</w:t>
      </w:r>
      <w:r w:rsidR="006E02BC">
        <w:rPr>
          <w:rFonts w:ascii="Arial" w:hAnsi="Arial" w:cs="Arial"/>
          <w:b/>
          <w:sz w:val="24"/>
          <w:szCs w:val="24"/>
          <w:u w:val="single"/>
          <w:lang w:eastAsia="es-ES"/>
        </w:rPr>
        <w:t>rado Juan José Yáñez Arreola</w:t>
      </w:r>
    </w:p>
    <w:p w:rsidR="00DE7AA4" w:rsidRPr="00860679" w:rsidRDefault="00DE7AA4" w:rsidP="00DE7AA4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9835F6" w:rsidRDefault="00DE7AA4" w:rsidP="007F5039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60679">
        <w:rPr>
          <w:rFonts w:ascii="Arial" w:hAnsi="Arial" w:cs="Arial"/>
          <w:b/>
          <w:sz w:val="24"/>
          <w:szCs w:val="24"/>
          <w:u w:val="single"/>
        </w:rPr>
        <w:t>1</w:t>
      </w:r>
      <w:r w:rsidR="00436927" w:rsidRPr="00860679">
        <w:rPr>
          <w:rFonts w:ascii="Arial" w:hAnsi="Arial" w:cs="Arial"/>
          <w:b/>
          <w:sz w:val="24"/>
          <w:szCs w:val="24"/>
          <w:u w:val="single"/>
        </w:rPr>
        <w:t xml:space="preserve">.- Toca penal </w:t>
      </w:r>
      <w:r w:rsidR="006E02BC">
        <w:rPr>
          <w:rFonts w:ascii="Arial" w:hAnsi="Arial" w:cs="Arial"/>
          <w:b/>
          <w:sz w:val="24"/>
          <w:szCs w:val="24"/>
          <w:u w:val="single"/>
        </w:rPr>
        <w:t>34/2020-JO</w:t>
      </w:r>
      <w:r w:rsidR="00C8277D" w:rsidRPr="00860679">
        <w:rPr>
          <w:rFonts w:ascii="Arial" w:hAnsi="Arial" w:cs="Arial"/>
          <w:b/>
          <w:sz w:val="24"/>
          <w:szCs w:val="24"/>
          <w:u w:val="single"/>
        </w:rPr>
        <w:t>,</w:t>
      </w:r>
      <w:r w:rsidR="00C8277D" w:rsidRPr="00860679">
        <w:rPr>
          <w:rFonts w:ascii="Arial" w:hAnsi="Arial" w:cs="Arial"/>
          <w:b/>
          <w:sz w:val="24"/>
          <w:szCs w:val="24"/>
        </w:rPr>
        <w:t xml:space="preserve"> </w:t>
      </w:r>
      <w:r w:rsidR="00C8277D" w:rsidRPr="00860679">
        <w:rPr>
          <w:rFonts w:ascii="Arial" w:hAnsi="Arial" w:cs="Arial"/>
          <w:sz w:val="24"/>
          <w:szCs w:val="24"/>
        </w:rPr>
        <w:t xml:space="preserve"> </w:t>
      </w:r>
      <w:r w:rsidR="006E02BC" w:rsidRPr="006E02BC">
        <w:rPr>
          <w:rFonts w:ascii="Arial" w:hAnsi="Arial" w:cs="Arial"/>
          <w:sz w:val="24"/>
        </w:rPr>
        <w:t xml:space="preserve">en el proceso 611/2018-JO por el delito de </w:t>
      </w:r>
      <w:r w:rsidR="006E02BC" w:rsidRPr="006E02BC">
        <w:rPr>
          <w:rFonts w:ascii="Arial" w:hAnsi="Arial" w:cs="Arial"/>
          <w:color w:val="000000" w:themeColor="text1"/>
          <w:sz w:val="24"/>
        </w:rPr>
        <w:t>feminicidio y ocultamiento e incineración de cadáver de una persona con el propósito de ocultar un delito</w:t>
      </w:r>
      <w:r w:rsidR="006E02BC" w:rsidRPr="006E02BC">
        <w:rPr>
          <w:rFonts w:ascii="Arial" w:hAnsi="Arial" w:cs="Arial"/>
          <w:sz w:val="24"/>
        </w:rPr>
        <w:t>,</w:t>
      </w:r>
      <w:r w:rsidR="006E02BC" w:rsidRPr="006E02BC">
        <w:rPr>
          <w:rFonts w:ascii="Arial" w:hAnsi="Arial" w:cs="Arial"/>
          <w:sz w:val="24"/>
        </w:rPr>
        <w:t xml:space="preserve"> en contra de David Ernesto,  esto en cumplimiento a la ejecutoria del </w:t>
      </w:r>
      <w:r w:rsidR="006E02BC" w:rsidRPr="006E02BC">
        <w:rPr>
          <w:rFonts w:ascii="Arial" w:hAnsi="Arial" w:cs="Arial"/>
          <w:sz w:val="24"/>
        </w:rPr>
        <w:t>juicio de amparo directo 250/2022</w:t>
      </w:r>
      <w:r w:rsidR="006E02BC">
        <w:rPr>
          <w:rFonts w:ascii="Arial" w:hAnsi="Arial" w:cs="Arial"/>
          <w:sz w:val="24"/>
        </w:rPr>
        <w:t xml:space="preserve">. </w:t>
      </w:r>
      <w:r w:rsidR="00C8277D" w:rsidRPr="00860679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6E2783" w:rsidRPr="00860679">
        <w:rPr>
          <w:rFonts w:ascii="Arial" w:hAnsi="Arial" w:cs="Arial"/>
          <w:b/>
          <w:color w:val="000000" w:themeColor="text1"/>
          <w:sz w:val="24"/>
          <w:szCs w:val="24"/>
        </w:rPr>
        <w:t>AFH</w:t>
      </w:r>
      <w:r w:rsidR="006E02BC">
        <w:rPr>
          <w:rFonts w:ascii="Arial" w:hAnsi="Arial" w:cs="Arial"/>
          <w:b/>
          <w:color w:val="000000" w:themeColor="text1"/>
          <w:sz w:val="24"/>
          <w:szCs w:val="24"/>
        </w:rPr>
        <w:t xml:space="preserve">---HRG. </w:t>
      </w:r>
    </w:p>
    <w:p w:rsidR="00860679" w:rsidRDefault="00860679" w:rsidP="007F5039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60679" w:rsidRPr="00860679" w:rsidRDefault="00860679" w:rsidP="007F5039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10F3" w:rsidRPr="00860679" w:rsidRDefault="009410F3" w:rsidP="00A027C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860679" w:rsidRPr="00860679" w:rsidRDefault="00860679" w:rsidP="00860679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860679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Magistrado </w:t>
      </w:r>
      <w:r w:rsidR="006E02BC">
        <w:rPr>
          <w:rFonts w:ascii="Arial" w:hAnsi="Arial" w:cs="Arial"/>
          <w:b/>
          <w:sz w:val="24"/>
          <w:szCs w:val="24"/>
          <w:u w:val="single"/>
          <w:lang w:eastAsia="es-ES"/>
        </w:rPr>
        <w:t>Manuel Alberto Flores Hernández</w:t>
      </w:r>
    </w:p>
    <w:p w:rsidR="00860679" w:rsidRPr="00860679" w:rsidRDefault="00860679" w:rsidP="00860679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C04DAD" w:rsidRPr="00860679" w:rsidRDefault="006E02BC" w:rsidP="00860679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107</w:t>
      </w:r>
      <w:r w:rsidR="00860679" w:rsidRPr="00860679">
        <w:rPr>
          <w:rFonts w:ascii="Arial" w:hAnsi="Arial" w:cs="Arial"/>
          <w:b/>
          <w:sz w:val="24"/>
          <w:szCs w:val="24"/>
          <w:u w:val="single"/>
        </w:rPr>
        <w:t>/2022-T,</w:t>
      </w:r>
      <w:r w:rsidR="00860679" w:rsidRPr="00860679">
        <w:rPr>
          <w:rFonts w:ascii="Arial" w:hAnsi="Arial" w:cs="Arial"/>
          <w:b/>
          <w:sz w:val="24"/>
          <w:szCs w:val="24"/>
        </w:rPr>
        <w:t xml:space="preserve"> </w:t>
      </w:r>
      <w:r w:rsidR="00860679" w:rsidRPr="00860679">
        <w:rPr>
          <w:rFonts w:ascii="Arial" w:hAnsi="Arial" w:cs="Arial"/>
          <w:sz w:val="24"/>
          <w:szCs w:val="24"/>
        </w:rPr>
        <w:t xml:space="preserve"> </w:t>
      </w:r>
      <w:r w:rsidRPr="006E02BC">
        <w:rPr>
          <w:rFonts w:ascii="Arial" w:hAnsi="Arial" w:cs="Arial"/>
          <w:sz w:val="24"/>
          <w:szCs w:val="28"/>
        </w:rPr>
        <w:t>dent</w:t>
      </w:r>
      <w:r>
        <w:rPr>
          <w:rFonts w:ascii="Arial" w:hAnsi="Arial" w:cs="Arial"/>
          <w:sz w:val="24"/>
          <w:szCs w:val="28"/>
        </w:rPr>
        <w:t>ro de la causa penal 392/2020-4T,</w:t>
      </w:r>
      <w:r w:rsidRPr="006E02BC">
        <w:rPr>
          <w:rFonts w:ascii="Arial" w:hAnsi="Arial" w:cs="Arial"/>
          <w:sz w:val="24"/>
          <w:szCs w:val="28"/>
        </w:rPr>
        <w:t xml:space="preserve"> por el delito de homicidio cometido e</w:t>
      </w:r>
      <w:r>
        <w:rPr>
          <w:rFonts w:ascii="Arial" w:hAnsi="Arial" w:cs="Arial"/>
          <w:sz w:val="24"/>
          <w:szCs w:val="28"/>
        </w:rPr>
        <w:t>n riña con carácter de provocado seguido en contra de Isidro.</w:t>
      </w:r>
      <w:r w:rsidRPr="006E02BC">
        <w:rPr>
          <w:rFonts w:ascii="Arial" w:eastAsia="Batang" w:hAnsi="Arial" w:cs="Arial"/>
          <w:b/>
          <w:iCs/>
          <w:sz w:val="28"/>
          <w:szCs w:val="24"/>
        </w:rPr>
        <w:t xml:space="preserve"> </w:t>
      </w:r>
      <w:r>
        <w:rPr>
          <w:rFonts w:ascii="Arial" w:eastAsia="Batang" w:hAnsi="Arial" w:cs="Arial"/>
          <w:b/>
          <w:iCs/>
          <w:sz w:val="24"/>
          <w:szCs w:val="24"/>
        </w:rPr>
        <w:t>MLVG---JJYA</w:t>
      </w:r>
      <w:bookmarkStart w:id="0" w:name="_GoBack"/>
      <w:bookmarkEnd w:id="0"/>
      <w:r>
        <w:rPr>
          <w:rFonts w:ascii="Arial" w:eastAsia="Batang" w:hAnsi="Arial" w:cs="Arial"/>
          <w:b/>
          <w:iCs/>
          <w:sz w:val="24"/>
          <w:szCs w:val="24"/>
        </w:rPr>
        <w:t>---LERV—AGGS</w:t>
      </w:r>
      <w:r w:rsidR="00860679" w:rsidRPr="00860679">
        <w:rPr>
          <w:rFonts w:ascii="Arial" w:eastAsia="Batang" w:hAnsi="Arial" w:cs="Arial"/>
          <w:b/>
          <w:iCs/>
          <w:sz w:val="24"/>
          <w:szCs w:val="24"/>
        </w:rPr>
        <w:t>.</w:t>
      </w:r>
    </w:p>
    <w:p w:rsidR="00860679" w:rsidRPr="00860679" w:rsidRDefault="00860679" w:rsidP="00860679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>4). Asuntos Generales: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860679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860679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860679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860679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860679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60679">
        <w:rPr>
          <w:rFonts w:ascii="Arial" w:eastAsia="Arial" w:hAnsi="Arial" w:cs="Arial"/>
          <w:b/>
          <w:sz w:val="24"/>
          <w:szCs w:val="24"/>
        </w:rPr>
        <w:t xml:space="preserve">5). </w:t>
      </w:r>
      <w:r w:rsidRPr="00860679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860679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860679">
        <w:rPr>
          <w:rFonts w:ascii="Arial" w:eastAsia="Arial" w:hAnsi="Arial" w:cs="Arial"/>
          <w:sz w:val="24"/>
          <w:szCs w:val="24"/>
        </w:rPr>
        <w:t>celebrada</w:t>
      </w:r>
      <w:r w:rsidRPr="00860679">
        <w:rPr>
          <w:rFonts w:ascii="Arial" w:eastAsia="Arial" w:hAnsi="Arial" w:cs="Arial"/>
          <w:b/>
          <w:sz w:val="24"/>
          <w:szCs w:val="24"/>
        </w:rPr>
        <w:t xml:space="preserve"> </w:t>
      </w:r>
      <w:r w:rsidRPr="00860679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Pr="00860679" w:rsidRDefault="00A027C4" w:rsidP="00A027C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86067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860679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0679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860679">
      <w:pgSz w:w="12240" w:h="20160"/>
      <w:pgMar w:top="2552" w:right="1418" w:bottom="1418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1012C9"/>
    <w:rsid w:val="00105770"/>
    <w:rsid w:val="00144113"/>
    <w:rsid w:val="00165235"/>
    <w:rsid w:val="001A43ED"/>
    <w:rsid w:val="00225F9F"/>
    <w:rsid w:val="00281060"/>
    <w:rsid w:val="00382AC9"/>
    <w:rsid w:val="00394C0A"/>
    <w:rsid w:val="003B2E12"/>
    <w:rsid w:val="003D7C68"/>
    <w:rsid w:val="003E03B3"/>
    <w:rsid w:val="003E6B86"/>
    <w:rsid w:val="00415FAD"/>
    <w:rsid w:val="00436927"/>
    <w:rsid w:val="006E02BC"/>
    <w:rsid w:val="006E2783"/>
    <w:rsid w:val="00722218"/>
    <w:rsid w:val="007F5039"/>
    <w:rsid w:val="00800CE8"/>
    <w:rsid w:val="00860679"/>
    <w:rsid w:val="00865C8D"/>
    <w:rsid w:val="008B2E56"/>
    <w:rsid w:val="009243B4"/>
    <w:rsid w:val="009410F3"/>
    <w:rsid w:val="009645ED"/>
    <w:rsid w:val="009835F6"/>
    <w:rsid w:val="00A027C4"/>
    <w:rsid w:val="00A2697D"/>
    <w:rsid w:val="00AA2AEA"/>
    <w:rsid w:val="00BE3399"/>
    <w:rsid w:val="00C04DAD"/>
    <w:rsid w:val="00C8277D"/>
    <w:rsid w:val="00CA1A0C"/>
    <w:rsid w:val="00CD06FC"/>
    <w:rsid w:val="00D444EE"/>
    <w:rsid w:val="00D72407"/>
    <w:rsid w:val="00DC225D"/>
    <w:rsid w:val="00DE7AA4"/>
    <w:rsid w:val="00E80568"/>
    <w:rsid w:val="00ED5570"/>
    <w:rsid w:val="00F101CE"/>
    <w:rsid w:val="00F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2023-02-15T17:37:00Z</dcterms:created>
  <dcterms:modified xsi:type="dcterms:W3CDTF">2023-02-15T17:37:00Z</dcterms:modified>
</cp:coreProperties>
</file>